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1F" w:rsidRDefault="00036D1F">
      <w:pPr>
        <w:spacing w:before="87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036D1F" w:rsidRDefault="00036D1F">
      <w:pPr>
        <w:spacing w:line="200" w:lineRule="exact"/>
        <w:rPr>
          <w:sz w:val="20"/>
          <w:szCs w:val="20"/>
        </w:rPr>
      </w:pPr>
    </w:p>
    <w:p w:rsidR="00036D1F" w:rsidRDefault="00C81F00">
      <w:pPr>
        <w:spacing w:before="35"/>
        <w:ind w:left="68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0070C0"/>
          <w:sz w:val="24"/>
        </w:rPr>
        <w:t>Our ESG commitment</w:t>
      </w:r>
    </w:p>
    <w:p w:rsidR="00036D1F" w:rsidRDefault="00036D1F">
      <w:pPr>
        <w:spacing w:before="18" w:line="340" w:lineRule="exact"/>
        <w:rPr>
          <w:sz w:val="34"/>
          <w:szCs w:val="34"/>
        </w:rPr>
      </w:pPr>
    </w:p>
    <w:p w:rsidR="00036D1F" w:rsidRDefault="00C81F00">
      <w:pPr>
        <w:pStyle w:val="Corpsdetexte"/>
        <w:spacing w:line="295" w:lineRule="auto"/>
        <w:ind w:right="103"/>
        <w:jc w:val="both"/>
      </w:pPr>
      <w:r>
        <w:rPr>
          <w:color w:val="575756"/>
        </w:rPr>
        <w:t xml:space="preserve">The ESG approach is an integral component of FCDE’s investment strategy: </w:t>
      </w:r>
      <w:r>
        <w:rPr>
          <w:color w:val="0070C0"/>
        </w:rPr>
        <w:t>ESG is a major component of sustainable value creation</w:t>
      </w:r>
    </w:p>
    <w:p w:rsidR="00036D1F" w:rsidRDefault="00036D1F">
      <w:pPr>
        <w:spacing w:before="9" w:line="300" w:lineRule="exact"/>
        <w:rPr>
          <w:sz w:val="30"/>
          <w:szCs w:val="30"/>
        </w:rPr>
      </w:pPr>
    </w:p>
    <w:p w:rsidR="00036D1F" w:rsidRDefault="00C81F00">
      <w:pPr>
        <w:pStyle w:val="Corpsdetexte"/>
        <w:spacing w:line="295" w:lineRule="auto"/>
        <w:ind w:right="103"/>
        <w:jc w:val="both"/>
      </w:pPr>
      <w:r>
        <w:rPr>
          <w:color w:val="575756"/>
        </w:rPr>
        <w:t>Our ESG approach is fed by a number of very strong convictions which form part of our culture:</w:t>
      </w:r>
    </w:p>
    <w:p w:rsidR="00036D1F" w:rsidRDefault="00036D1F">
      <w:pPr>
        <w:spacing w:before="4" w:line="300" w:lineRule="exact"/>
        <w:rPr>
          <w:sz w:val="30"/>
          <w:szCs w:val="30"/>
        </w:rPr>
      </w:pPr>
    </w:p>
    <w:p w:rsidR="00036D1F" w:rsidRDefault="00C81F00">
      <w:pPr>
        <w:pStyle w:val="Corpsdetexte"/>
        <w:numPr>
          <w:ilvl w:val="0"/>
          <w:numId w:val="1"/>
        </w:numPr>
        <w:tabs>
          <w:tab w:val="left" w:pos="1402"/>
        </w:tabs>
        <w:spacing w:line="300" w:lineRule="auto"/>
        <w:ind w:right="102"/>
        <w:jc w:val="both"/>
      </w:pPr>
      <w:r>
        <w:rPr>
          <w:color w:val="575756"/>
        </w:rPr>
        <w:t>Due to its public-private DNA</w:t>
      </w:r>
      <w:r w:rsidR="00261CA3">
        <w:rPr>
          <w:color w:val="575756"/>
        </w:rPr>
        <w:t xml:space="preserve">, </w:t>
      </w:r>
      <w:r>
        <w:rPr>
          <w:color w:val="575756"/>
        </w:rPr>
        <w:t xml:space="preserve">FCDE essentially seeks </w:t>
      </w:r>
      <w:r w:rsidR="000963CE" w:rsidRPr="00633CB5">
        <w:rPr>
          <w:color w:val="595959" w:themeColor="text1" w:themeTint="A6"/>
        </w:rPr>
        <w:t>equity stories</w:t>
      </w:r>
      <w:r w:rsidRPr="00633CB5">
        <w:rPr>
          <w:color w:val="595959" w:themeColor="text1" w:themeTint="A6"/>
        </w:rPr>
        <w:t xml:space="preserve"> </w:t>
      </w:r>
      <w:r>
        <w:rPr>
          <w:color w:val="575756"/>
        </w:rPr>
        <w:t xml:space="preserve">that are both </w:t>
      </w:r>
      <w:r w:rsidR="000963CE" w:rsidRPr="00633CB5">
        <w:rPr>
          <w:color w:val="595959" w:themeColor="text1" w:themeTint="A6"/>
        </w:rPr>
        <w:t>creating</w:t>
      </w:r>
      <w:r w:rsidR="000963CE">
        <w:rPr>
          <w:color w:val="0070C0"/>
        </w:rPr>
        <w:t xml:space="preserve"> </w:t>
      </w:r>
      <w:r>
        <w:rPr>
          <w:color w:val="0070C0"/>
        </w:rPr>
        <w:t>value and are meaningful and useful</w:t>
      </w:r>
      <w:r>
        <w:rPr>
          <w:color w:val="575756"/>
        </w:rPr>
        <w:t>,</w:t>
      </w:r>
    </w:p>
    <w:p w:rsidR="00036D1F" w:rsidRDefault="00036D1F">
      <w:pPr>
        <w:spacing w:before="19" w:line="280" w:lineRule="exact"/>
        <w:rPr>
          <w:sz w:val="28"/>
          <w:szCs w:val="28"/>
        </w:rPr>
      </w:pPr>
    </w:p>
    <w:p w:rsidR="00036D1F" w:rsidRDefault="00C81F00">
      <w:pPr>
        <w:pStyle w:val="Corpsdetexte"/>
        <w:numPr>
          <w:ilvl w:val="0"/>
          <w:numId w:val="1"/>
        </w:numPr>
        <w:tabs>
          <w:tab w:val="left" w:pos="1402"/>
        </w:tabs>
        <w:spacing w:line="300" w:lineRule="auto"/>
        <w:ind w:right="100"/>
        <w:jc w:val="both"/>
      </w:pPr>
      <w:r>
        <w:rPr>
          <w:color w:val="575756"/>
        </w:rPr>
        <w:t xml:space="preserve">FCDE aims at </w:t>
      </w:r>
      <w:r w:rsidR="001B69A1" w:rsidRPr="00633CB5">
        <w:rPr>
          <w:color w:val="595959" w:themeColor="text1" w:themeTint="A6"/>
        </w:rPr>
        <w:t xml:space="preserve">achieving </w:t>
      </w:r>
      <w:r w:rsidRPr="00633CB5">
        <w:rPr>
          <w:color w:val="595959" w:themeColor="text1" w:themeTint="A6"/>
        </w:rPr>
        <w:t xml:space="preserve">sustainable </w:t>
      </w:r>
      <w:r>
        <w:rPr>
          <w:color w:val="575756"/>
        </w:rPr>
        <w:t xml:space="preserve">value creation in its portfolio companies </w:t>
      </w:r>
      <w:r>
        <w:rPr>
          <w:color w:val="0070C0"/>
        </w:rPr>
        <w:t>by accelerating their transformation and ensuring its durability</w:t>
      </w:r>
      <w:r>
        <w:rPr>
          <w:color w:val="575756"/>
        </w:rPr>
        <w:t>,</w:t>
      </w:r>
    </w:p>
    <w:p w:rsidR="00036D1F" w:rsidRDefault="00036D1F">
      <w:pPr>
        <w:spacing w:before="19" w:line="280" w:lineRule="exact"/>
        <w:rPr>
          <w:sz w:val="28"/>
          <w:szCs w:val="28"/>
        </w:rPr>
      </w:pPr>
    </w:p>
    <w:p w:rsidR="00036D1F" w:rsidRDefault="00C81F00">
      <w:pPr>
        <w:pStyle w:val="Corpsdetexte"/>
        <w:numPr>
          <w:ilvl w:val="0"/>
          <w:numId w:val="1"/>
        </w:numPr>
        <w:tabs>
          <w:tab w:val="left" w:pos="1402"/>
        </w:tabs>
        <w:spacing w:line="298" w:lineRule="auto"/>
        <w:ind w:right="102"/>
        <w:jc w:val="both"/>
      </w:pPr>
      <w:r>
        <w:rPr>
          <w:color w:val="575756"/>
        </w:rPr>
        <w:t>FCDE works on both components of value creation</w:t>
      </w:r>
      <w:r w:rsidRPr="00840940">
        <w:rPr>
          <w:color w:val="0070C0"/>
        </w:rPr>
        <w:t>:</w:t>
      </w:r>
      <w:r w:rsidR="00CF3573" w:rsidRPr="00840940">
        <w:rPr>
          <w:color w:val="0070C0"/>
        </w:rPr>
        <w:t xml:space="preserve"> </w:t>
      </w:r>
      <w:r w:rsidRPr="00840940">
        <w:rPr>
          <w:color w:val="0070C0"/>
        </w:rPr>
        <w:t>the financial component</w:t>
      </w:r>
      <w:r>
        <w:rPr>
          <w:color w:val="064869"/>
        </w:rPr>
        <w:t xml:space="preserve"> </w:t>
      </w:r>
      <w:r>
        <w:rPr>
          <w:color w:val="575756"/>
        </w:rPr>
        <w:t>(</w:t>
      </w:r>
      <w:r w:rsidR="001B69A1" w:rsidRPr="00633CB5">
        <w:rPr>
          <w:color w:val="595959" w:themeColor="text1" w:themeTint="A6"/>
        </w:rPr>
        <w:t>increase in EBITDA, decrease in</w:t>
      </w:r>
      <w:r w:rsidRPr="00633CB5">
        <w:rPr>
          <w:color w:val="595959" w:themeColor="text1" w:themeTint="A6"/>
        </w:rPr>
        <w:t xml:space="preserve"> </w:t>
      </w:r>
      <w:r>
        <w:rPr>
          <w:color w:val="575756"/>
        </w:rPr>
        <w:t xml:space="preserve">net debt) and </w:t>
      </w:r>
      <w:r>
        <w:rPr>
          <w:color w:val="0070C0"/>
        </w:rPr>
        <w:t xml:space="preserve">the extra-financial component </w:t>
      </w:r>
      <w:r>
        <w:rPr>
          <w:color w:val="575756"/>
        </w:rPr>
        <w:t>(ESG), which is of growing importance.</w:t>
      </w:r>
    </w:p>
    <w:p w:rsidR="00036D1F" w:rsidRDefault="00036D1F">
      <w:pPr>
        <w:spacing w:before="7" w:line="300" w:lineRule="exact"/>
        <w:rPr>
          <w:sz w:val="30"/>
          <w:szCs w:val="30"/>
        </w:rPr>
      </w:pPr>
    </w:p>
    <w:p w:rsidR="00036D1F" w:rsidRDefault="00C81F00">
      <w:pPr>
        <w:pStyle w:val="Corpsdetexte"/>
        <w:jc w:val="both"/>
      </w:pPr>
      <w:r>
        <w:rPr>
          <w:color w:val="575756"/>
        </w:rPr>
        <w:t xml:space="preserve">Our approach is </w:t>
      </w:r>
      <w:r>
        <w:rPr>
          <w:color w:val="0070C0"/>
        </w:rPr>
        <w:t xml:space="preserve">collective </w:t>
      </w:r>
      <w:r>
        <w:rPr>
          <w:color w:val="575756"/>
        </w:rPr>
        <w:t xml:space="preserve">and </w:t>
      </w:r>
      <w:r>
        <w:rPr>
          <w:color w:val="0070C0"/>
        </w:rPr>
        <w:t>long term</w:t>
      </w:r>
      <w:r>
        <w:rPr>
          <w:color w:val="575756"/>
        </w:rPr>
        <w:t>.</w:t>
      </w:r>
    </w:p>
    <w:p w:rsidR="00036D1F" w:rsidRDefault="00036D1F">
      <w:pPr>
        <w:spacing w:before="9" w:line="130" w:lineRule="exact"/>
        <w:rPr>
          <w:sz w:val="13"/>
          <w:szCs w:val="13"/>
        </w:rPr>
      </w:pPr>
    </w:p>
    <w:p w:rsidR="00036D1F" w:rsidRDefault="00036D1F">
      <w:pPr>
        <w:spacing w:line="220" w:lineRule="exact"/>
      </w:pPr>
    </w:p>
    <w:p w:rsidR="00036D1F" w:rsidRDefault="00C81F00">
      <w:pPr>
        <w:pStyle w:val="Corpsdetexte"/>
        <w:jc w:val="both"/>
      </w:pPr>
      <w:r>
        <w:rPr>
          <w:color w:val="575756"/>
        </w:rPr>
        <w:t xml:space="preserve">Our approach is </w:t>
      </w:r>
      <w:r>
        <w:rPr>
          <w:color w:val="0070C0"/>
        </w:rPr>
        <w:t xml:space="preserve">collaborative </w:t>
      </w:r>
      <w:r>
        <w:rPr>
          <w:color w:val="575756"/>
        </w:rPr>
        <w:t xml:space="preserve">and geared to </w:t>
      </w:r>
      <w:r>
        <w:rPr>
          <w:color w:val="0070C0"/>
        </w:rPr>
        <w:t xml:space="preserve">co-construction </w:t>
      </w:r>
      <w:r>
        <w:rPr>
          <w:color w:val="575756"/>
        </w:rPr>
        <w:t>with the managers of our portfolio companies.</w:t>
      </w:r>
    </w:p>
    <w:p w:rsidR="00036D1F" w:rsidRDefault="00036D1F">
      <w:pPr>
        <w:spacing w:before="9" w:line="130" w:lineRule="exact"/>
        <w:rPr>
          <w:sz w:val="13"/>
          <w:szCs w:val="13"/>
        </w:rPr>
      </w:pPr>
    </w:p>
    <w:p w:rsidR="00036D1F" w:rsidRDefault="00036D1F">
      <w:pPr>
        <w:spacing w:line="220" w:lineRule="exact"/>
      </w:pPr>
    </w:p>
    <w:p w:rsidR="00036D1F" w:rsidRDefault="00C81F00">
      <w:pPr>
        <w:pStyle w:val="Corpsdetexte"/>
        <w:spacing w:line="298" w:lineRule="auto"/>
        <w:ind w:right="100"/>
        <w:jc w:val="both"/>
      </w:pPr>
      <w:r>
        <w:rPr>
          <w:color w:val="575756"/>
        </w:rPr>
        <w:t xml:space="preserve">Our approach is </w:t>
      </w:r>
      <w:r>
        <w:rPr>
          <w:color w:val="0070C0"/>
        </w:rPr>
        <w:t xml:space="preserve">targeted </w:t>
      </w:r>
      <w:r>
        <w:rPr>
          <w:color w:val="575756"/>
        </w:rPr>
        <w:t xml:space="preserve">and concentrates, in agreement with the managers of our portfolio companies, on the </w:t>
      </w:r>
      <w:r>
        <w:rPr>
          <w:color w:val="0070C0"/>
        </w:rPr>
        <w:t xml:space="preserve">ESG stakes </w:t>
      </w:r>
      <w:r w:rsidR="001B69A1" w:rsidRPr="00633CB5">
        <w:rPr>
          <w:color w:val="595959" w:themeColor="text1" w:themeTint="A6"/>
        </w:rPr>
        <w:t>relevant</w:t>
      </w:r>
      <w:r w:rsidR="001B69A1">
        <w:rPr>
          <w:color w:val="FF0000"/>
        </w:rPr>
        <w:t xml:space="preserve"> </w:t>
      </w:r>
      <w:r>
        <w:rPr>
          <w:color w:val="575756"/>
        </w:rPr>
        <w:t>to the company’s business (3 or 4 in parallel).</w:t>
      </w:r>
    </w:p>
    <w:p w:rsidR="00036D1F" w:rsidRDefault="00036D1F">
      <w:pPr>
        <w:spacing w:before="2" w:line="300" w:lineRule="exact"/>
        <w:rPr>
          <w:sz w:val="30"/>
          <w:szCs w:val="30"/>
        </w:rPr>
      </w:pPr>
    </w:p>
    <w:p w:rsidR="00AE26D0" w:rsidRDefault="00C81F00">
      <w:pPr>
        <w:pStyle w:val="Corpsdetexte"/>
        <w:spacing w:line="601" w:lineRule="auto"/>
        <w:ind w:right="866"/>
        <w:rPr>
          <w:color w:val="575756"/>
        </w:rPr>
      </w:pPr>
      <w:r>
        <w:rPr>
          <w:color w:val="575756"/>
        </w:rPr>
        <w:t xml:space="preserve">Our approach is </w:t>
      </w:r>
      <w:r>
        <w:rPr>
          <w:color w:val="0070C0"/>
        </w:rPr>
        <w:t>pragmatic</w:t>
      </w:r>
      <w:r>
        <w:rPr>
          <w:color w:val="575756"/>
        </w:rPr>
        <w:t xml:space="preserve">: measurable objectives are set for each stake. </w:t>
      </w:r>
    </w:p>
    <w:p w:rsidR="00036D1F" w:rsidRDefault="00C81F00">
      <w:pPr>
        <w:pStyle w:val="Corpsdetexte"/>
        <w:spacing w:line="601" w:lineRule="auto"/>
        <w:ind w:right="866"/>
      </w:pPr>
      <w:r>
        <w:rPr>
          <w:color w:val="575756"/>
        </w:rPr>
        <w:t xml:space="preserve">Our approach is </w:t>
      </w:r>
      <w:r>
        <w:rPr>
          <w:color w:val="0070C0"/>
        </w:rPr>
        <w:t xml:space="preserve">structured </w:t>
      </w:r>
      <w:r>
        <w:rPr>
          <w:color w:val="575756"/>
        </w:rPr>
        <w:t xml:space="preserve">and subject to decision making and </w:t>
      </w:r>
      <w:r w:rsidRPr="00633CB5">
        <w:rPr>
          <w:color w:val="595959" w:themeColor="text1" w:themeTint="A6"/>
        </w:rPr>
        <w:t>monitoring</w:t>
      </w:r>
      <w:r w:rsidR="001B69A1" w:rsidRPr="00633CB5">
        <w:rPr>
          <w:color w:val="595959" w:themeColor="text1" w:themeTint="A6"/>
        </w:rPr>
        <w:t xml:space="preserve"> processes.</w:t>
      </w:r>
    </w:p>
    <w:p w:rsidR="00036D1F" w:rsidRDefault="00C81F00">
      <w:pPr>
        <w:pStyle w:val="Corpsdetexte"/>
        <w:spacing w:before="5" w:line="295" w:lineRule="auto"/>
        <w:ind w:right="103"/>
        <w:jc w:val="both"/>
      </w:pPr>
      <w:r>
        <w:rPr>
          <w:color w:val="575756"/>
        </w:rPr>
        <w:t xml:space="preserve">Our approach is </w:t>
      </w:r>
      <w:r>
        <w:rPr>
          <w:color w:val="0070C0"/>
        </w:rPr>
        <w:t>evolutive</w:t>
      </w:r>
      <w:r>
        <w:rPr>
          <w:color w:val="575756"/>
        </w:rPr>
        <w:t>: we strengthen our understanding and expertise with each investment.</w:t>
      </w:r>
    </w:p>
    <w:p w:rsidR="00036D1F" w:rsidRDefault="00036D1F">
      <w:pPr>
        <w:spacing w:before="9" w:line="300" w:lineRule="exact"/>
        <w:rPr>
          <w:sz w:val="30"/>
          <w:szCs w:val="30"/>
        </w:rPr>
      </w:pPr>
    </w:p>
    <w:p w:rsidR="00036D1F" w:rsidRDefault="00C81F00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  <w:r>
        <w:rPr>
          <w:color w:val="575756"/>
        </w:rPr>
        <w:t xml:space="preserve">Our approach is </w:t>
      </w:r>
      <w:r>
        <w:rPr>
          <w:color w:val="0070C0"/>
        </w:rPr>
        <w:t>committed</w:t>
      </w:r>
      <w:r>
        <w:rPr>
          <w:color w:val="575756"/>
        </w:rPr>
        <w:t xml:space="preserve">: we announce our ESG commitment clearly and take part in promoting ESG values, notably by signing the </w:t>
      </w:r>
      <w:r w:rsidRPr="00633CB5">
        <w:rPr>
          <w:color w:val="595959" w:themeColor="text1" w:themeTint="A6"/>
        </w:rPr>
        <w:t xml:space="preserve">Charter of Commitments of Investors for Growth (France Invest, formerly AFIC) and the Partner Investors’ Charter of </w:t>
      </w:r>
      <w:r w:rsidR="00AE26D0">
        <w:rPr>
          <w:color w:val="595959" w:themeColor="text1" w:themeTint="A6"/>
        </w:rPr>
        <w:t xml:space="preserve">France </w:t>
      </w:r>
      <w:proofErr w:type="spellStart"/>
      <w:r w:rsidR="00AE26D0">
        <w:rPr>
          <w:color w:val="595959" w:themeColor="text1" w:themeTint="A6"/>
        </w:rPr>
        <w:t>Investissement</w:t>
      </w:r>
      <w:proofErr w:type="spellEnd"/>
      <w:r w:rsidR="00AE26D0">
        <w:rPr>
          <w:color w:val="595959" w:themeColor="text1" w:themeTint="A6"/>
        </w:rPr>
        <w:t>.</w:t>
      </w: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273475" w:rsidRDefault="00273475">
      <w:pPr>
        <w:pStyle w:val="Corpsdetexte"/>
        <w:spacing w:line="297" w:lineRule="auto"/>
        <w:ind w:right="104"/>
        <w:jc w:val="both"/>
        <w:rPr>
          <w:color w:val="595959" w:themeColor="text1" w:themeTint="A6"/>
        </w:rPr>
      </w:pPr>
    </w:p>
    <w:p w:rsidR="001C64AA" w:rsidRDefault="001C64AA" w:rsidP="00261CA3">
      <w:pPr>
        <w:spacing w:before="35"/>
        <w:jc w:val="both"/>
        <w:rPr>
          <w:rFonts w:ascii="Tahoma"/>
          <w:b/>
          <w:color w:val="0070C0"/>
          <w:sz w:val="24"/>
        </w:rPr>
      </w:pPr>
    </w:p>
    <w:p w:rsidR="001C64AA" w:rsidRDefault="001C64AA" w:rsidP="00273475">
      <w:pPr>
        <w:spacing w:before="35"/>
        <w:ind w:left="681"/>
        <w:jc w:val="both"/>
        <w:rPr>
          <w:rFonts w:ascii="Tahoma"/>
          <w:b/>
          <w:color w:val="0070C0"/>
          <w:sz w:val="24"/>
        </w:rPr>
      </w:pPr>
    </w:p>
    <w:p w:rsidR="005F7D57" w:rsidRDefault="005F7D57" w:rsidP="00273475">
      <w:pPr>
        <w:spacing w:before="35"/>
        <w:ind w:left="681"/>
        <w:jc w:val="both"/>
        <w:rPr>
          <w:rFonts w:ascii="Tahoma"/>
          <w:b/>
          <w:color w:val="0070C0"/>
          <w:sz w:val="24"/>
        </w:rPr>
      </w:pPr>
    </w:p>
    <w:p w:rsidR="005F7D57" w:rsidRDefault="005F7D57" w:rsidP="00273475">
      <w:pPr>
        <w:spacing w:before="35"/>
        <w:ind w:left="681"/>
        <w:jc w:val="both"/>
        <w:rPr>
          <w:rFonts w:ascii="Tahoma"/>
          <w:b/>
          <w:color w:val="0070C0"/>
          <w:sz w:val="24"/>
        </w:rPr>
      </w:pPr>
    </w:p>
    <w:p w:rsidR="005F7D57" w:rsidRDefault="005F7D57" w:rsidP="00273475">
      <w:pPr>
        <w:spacing w:before="35"/>
        <w:ind w:left="681"/>
        <w:jc w:val="both"/>
        <w:rPr>
          <w:rFonts w:ascii="Tahoma"/>
          <w:b/>
          <w:color w:val="0070C0"/>
          <w:sz w:val="24"/>
        </w:rPr>
      </w:pPr>
    </w:p>
    <w:p w:rsidR="00273475" w:rsidRDefault="00273475" w:rsidP="00273475">
      <w:pPr>
        <w:spacing w:before="35"/>
        <w:ind w:left="68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0070C0"/>
          <w:sz w:val="24"/>
        </w:rPr>
        <w:t>Our ESG policy</w:t>
      </w:r>
    </w:p>
    <w:p w:rsidR="00273475" w:rsidRDefault="00273475" w:rsidP="00273475">
      <w:pPr>
        <w:spacing w:before="18" w:line="340" w:lineRule="exact"/>
        <w:rPr>
          <w:sz w:val="34"/>
          <w:szCs w:val="34"/>
        </w:rPr>
      </w:pPr>
    </w:p>
    <w:p w:rsidR="00036D1F" w:rsidRDefault="00036D1F">
      <w:pPr>
        <w:spacing w:line="200" w:lineRule="exact"/>
        <w:rPr>
          <w:color w:val="595959" w:themeColor="text1" w:themeTint="A6"/>
          <w:sz w:val="20"/>
          <w:szCs w:val="20"/>
        </w:rPr>
      </w:pPr>
    </w:p>
    <w:p w:rsidR="00273475" w:rsidRPr="00333A0C" w:rsidRDefault="00273475" w:rsidP="00333A0C">
      <w:pPr>
        <w:pStyle w:val="Corpsdetexte"/>
        <w:spacing w:line="297" w:lineRule="auto"/>
        <w:ind w:right="104"/>
        <w:jc w:val="both"/>
        <w:rPr>
          <w:color w:val="575756"/>
        </w:rPr>
      </w:pPr>
    </w:p>
    <w:p w:rsidR="00273475" w:rsidRPr="00333A0C" w:rsidRDefault="00333A0C" w:rsidP="00333A0C">
      <w:pPr>
        <w:pStyle w:val="Corpsdetexte"/>
        <w:spacing w:line="297" w:lineRule="auto"/>
        <w:ind w:right="104"/>
        <w:jc w:val="both"/>
        <w:rPr>
          <w:color w:val="575756"/>
        </w:rPr>
      </w:pPr>
      <w:r w:rsidRPr="00333A0C">
        <w:rPr>
          <w:color w:val="575756"/>
        </w:rPr>
        <w:t>The mechanisms for taking account of ESG criteria in the Company’s investment and risk management policy were put in place in 2015.</w:t>
      </w:r>
    </w:p>
    <w:p w:rsidR="00333A0C" w:rsidRPr="00333A0C" w:rsidRDefault="00333A0C" w:rsidP="00A654FB">
      <w:pPr>
        <w:pStyle w:val="Corpsdetexte"/>
        <w:spacing w:line="297" w:lineRule="auto"/>
        <w:ind w:left="0" w:right="104"/>
        <w:jc w:val="both"/>
        <w:rPr>
          <w:color w:val="575756"/>
        </w:rPr>
      </w:pPr>
    </w:p>
    <w:p w:rsidR="00273475" w:rsidRPr="00333A0C" w:rsidRDefault="00333A0C" w:rsidP="00333A0C">
      <w:pPr>
        <w:pStyle w:val="Corpsdetexte"/>
        <w:spacing w:line="297" w:lineRule="auto"/>
        <w:ind w:right="104"/>
        <w:jc w:val="both"/>
        <w:rPr>
          <w:color w:val="575756"/>
        </w:rPr>
      </w:pPr>
      <w:r w:rsidRPr="00333A0C">
        <w:rPr>
          <w:color w:val="575756"/>
        </w:rPr>
        <w:t>Our ESG approach is based on three key stages: pre-investment due diligence; presentation to the Investment Committee of the ESG risks, opportunities and stakes associated with the proposed investment; and post-investment monitoring of objectives, actions plans and progress</w:t>
      </w:r>
      <w:r w:rsidR="00CE1060">
        <w:rPr>
          <w:color w:val="575756"/>
        </w:rPr>
        <w:t xml:space="preserve">. </w:t>
      </w:r>
    </w:p>
    <w:p w:rsidR="00036D1F" w:rsidRPr="00333A0C" w:rsidRDefault="00036D1F">
      <w:pPr>
        <w:spacing w:before="7" w:line="280" w:lineRule="exact"/>
        <w:rPr>
          <w:rFonts w:ascii="Arial" w:hAnsi="Arial" w:cs="Arial"/>
          <w:color w:val="595959" w:themeColor="text1" w:themeTint="A6"/>
          <w:sz w:val="21"/>
          <w:szCs w:val="21"/>
        </w:rPr>
      </w:pPr>
    </w:p>
    <w:p w:rsidR="00333A0C" w:rsidRDefault="00333A0C" w:rsidP="00333A0C">
      <w:pPr>
        <w:pStyle w:val="Corpsdetexte"/>
        <w:spacing w:line="297" w:lineRule="auto"/>
        <w:ind w:right="104"/>
        <w:jc w:val="both"/>
        <w:rPr>
          <w:color w:val="575756"/>
        </w:rPr>
      </w:pPr>
      <w:r w:rsidRPr="00333A0C">
        <w:rPr>
          <w:color w:val="575756"/>
        </w:rPr>
        <w:t xml:space="preserve">These procedures are coordinated by an in-house team composed of </w:t>
      </w:r>
      <w:proofErr w:type="spellStart"/>
      <w:r w:rsidR="00D9549C">
        <w:rPr>
          <w:color w:val="575756"/>
        </w:rPr>
        <w:t>Rejean</w:t>
      </w:r>
      <w:proofErr w:type="spellEnd"/>
      <w:r w:rsidR="00D9549C">
        <w:rPr>
          <w:color w:val="575756"/>
        </w:rPr>
        <w:t xml:space="preserve"> </w:t>
      </w:r>
      <w:proofErr w:type="spellStart"/>
      <w:r w:rsidR="00D9549C">
        <w:rPr>
          <w:color w:val="575756"/>
        </w:rPr>
        <w:t>Guern</w:t>
      </w:r>
      <w:proofErr w:type="spellEnd"/>
      <w:r w:rsidRPr="00333A0C">
        <w:rPr>
          <w:color w:val="575756"/>
        </w:rPr>
        <w:t xml:space="preserve"> (</w:t>
      </w:r>
      <w:r w:rsidR="00D9549C">
        <w:rPr>
          <w:color w:val="575756"/>
        </w:rPr>
        <w:t>Partner</w:t>
      </w:r>
      <w:r w:rsidRPr="00333A0C">
        <w:rPr>
          <w:color w:val="575756"/>
        </w:rPr>
        <w:t xml:space="preserve">), Charlotte </w:t>
      </w:r>
      <w:proofErr w:type="spellStart"/>
      <w:r w:rsidRPr="00333A0C">
        <w:rPr>
          <w:color w:val="575756"/>
        </w:rPr>
        <w:t>Lepetit</w:t>
      </w:r>
      <w:proofErr w:type="spellEnd"/>
      <w:r w:rsidRPr="00333A0C">
        <w:rPr>
          <w:color w:val="575756"/>
        </w:rPr>
        <w:t xml:space="preserve"> (</w:t>
      </w:r>
      <w:r w:rsidR="00A351F7">
        <w:rPr>
          <w:color w:val="575756"/>
        </w:rPr>
        <w:t>Corporate</w:t>
      </w:r>
      <w:r w:rsidR="00A351F7" w:rsidRPr="00333A0C">
        <w:rPr>
          <w:color w:val="575756"/>
        </w:rPr>
        <w:t xml:space="preserve"> </w:t>
      </w:r>
      <w:r w:rsidRPr="00333A0C">
        <w:rPr>
          <w:color w:val="575756"/>
        </w:rPr>
        <w:t xml:space="preserve">Secretary) and Jules </w:t>
      </w:r>
      <w:proofErr w:type="spellStart"/>
      <w:r w:rsidRPr="00333A0C">
        <w:rPr>
          <w:color w:val="575756"/>
        </w:rPr>
        <w:t>Bosser</w:t>
      </w:r>
      <w:proofErr w:type="spellEnd"/>
      <w:r w:rsidRPr="00333A0C">
        <w:rPr>
          <w:color w:val="575756"/>
        </w:rPr>
        <w:t xml:space="preserve"> (Investment Manager). The Company has established an ESG Committee composed of t</w:t>
      </w:r>
      <w:r w:rsidR="00D9549C">
        <w:rPr>
          <w:color w:val="575756"/>
        </w:rPr>
        <w:t xml:space="preserve">wo </w:t>
      </w:r>
      <w:r w:rsidRPr="00333A0C">
        <w:rPr>
          <w:color w:val="575756"/>
        </w:rPr>
        <w:t xml:space="preserve">Partners — </w:t>
      </w:r>
      <w:proofErr w:type="spellStart"/>
      <w:r w:rsidR="00D9549C">
        <w:rPr>
          <w:color w:val="575756"/>
        </w:rPr>
        <w:t>Rejean</w:t>
      </w:r>
      <w:proofErr w:type="spellEnd"/>
      <w:r w:rsidR="00D9549C">
        <w:rPr>
          <w:color w:val="575756"/>
        </w:rPr>
        <w:t xml:space="preserve"> </w:t>
      </w:r>
      <w:proofErr w:type="spellStart"/>
      <w:r w:rsidR="00D9549C">
        <w:rPr>
          <w:color w:val="575756"/>
        </w:rPr>
        <w:t>Guern</w:t>
      </w:r>
      <w:proofErr w:type="spellEnd"/>
      <w:r w:rsidR="00D9549C">
        <w:rPr>
          <w:color w:val="575756"/>
        </w:rPr>
        <w:t xml:space="preserve"> and</w:t>
      </w:r>
      <w:r w:rsidRPr="00333A0C">
        <w:rPr>
          <w:color w:val="575756"/>
        </w:rPr>
        <w:t xml:space="preserve"> Charlotte </w:t>
      </w:r>
      <w:proofErr w:type="spellStart"/>
      <w:r w:rsidRPr="00333A0C">
        <w:rPr>
          <w:color w:val="575756"/>
        </w:rPr>
        <w:t>Lepetit</w:t>
      </w:r>
      <w:proofErr w:type="spellEnd"/>
      <w:r w:rsidRPr="00333A0C">
        <w:rPr>
          <w:color w:val="575756"/>
        </w:rPr>
        <w:t>— which meets annually to monitor, share and coordinate progress on ESG issues with the portfolio companies.</w:t>
      </w:r>
    </w:p>
    <w:p w:rsidR="00850550" w:rsidRDefault="00850550" w:rsidP="00333A0C">
      <w:pPr>
        <w:pStyle w:val="Corpsdetexte"/>
        <w:spacing w:line="297" w:lineRule="auto"/>
        <w:ind w:right="104"/>
        <w:jc w:val="both"/>
        <w:rPr>
          <w:color w:val="575756"/>
        </w:rPr>
      </w:pPr>
    </w:p>
    <w:p w:rsidR="00850550" w:rsidRDefault="00850550" w:rsidP="00333A0C">
      <w:pPr>
        <w:pStyle w:val="Corpsdetexte"/>
        <w:spacing w:line="297" w:lineRule="auto"/>
        <w:ind w:right="104"/>
        <w:jc w:val="both"/>
        <w:rPr>
          <w:color w:val="575756"/>
        </w:rPr>
      </w:pPr>
      <w:r w:rsidRPr="00850550">
        <w:rPr>
          <w:color w:val="575756"/>
        </w:rPr>
        <w:t>The following documents are available to all subscribers</w:t>
      </w:r>
      <w:r w:rsidR="00CE1060">
        <w:rPr>
          <w:color w:val="575756"/>
        </w:rPr>
        <w:t xml:space="preserve"> upon request</w:t>
      </w:r>
      <w:r w:rsidRPr="00850550">
        <w:rPr>
          <w:color w:val="575756"/>
        </w:rPr>
        <w:t>:</w:t>
      </w:r>
    </w:p>
    <w:p w:rsidR="00850550" w:rsidRDefault="00850550" w:rsidP="00850550">
      <w:pPr>
        <w:spacing w:before="4" w:line="300" w:lineRule="exact"/>
        <w:rPr>
          <w:sz w:val="30"/>
          <w:szCs w:val="30"/>
        </w:rPr>
      </w:pPr>
    </w:p>
    <w:p w:rsidR="00850550" w:rsidRDefault="00CE1060" w:rsidP="00850550">
      <w:pPr>
        <w:pStyle w:val="Corpsdetexte"/>
        <w:numPr>
          <w:ilvl w:val="0"/>
          <w:numId w:val="1"/>
        </w:numPr>
        <w:tabs>
          <w:tab w:val="left" w:pos="1402"/>
        </w:tabs>
        <w:spacing w:line="300" w:lineRule="auto"/>
        <w:ind w:right="102"/>
        <w:jc w:val="both"/>
      </w:pPr>
      <w:r>
        <w:rPr>
          <w:color w:val="575756"/>
        </w:rPr>
        <w:t>a</w:t>
      </w:r>
      <w:r w:rsidR="00850550">
        <w:rPr>
          <w:color w:val="575756"/>
        </w:rPr>
        <w:t>n ESG Report prepared annually by the Company in collaboration with a</w:t>
      </w:r>
      <w:r w:rsidR="00A351F7">
        <w:rPr>
          <w:color w:val="575756"/>
        </w:rPr>
        <w:t xml:space="preserve">n appointed Advisor </w:t>
      </w:r>
      <w:r w:rsidR="00850550">
        <w:rPr>
          <w:color w:val="575756"/>
        </w:rPr>
        <w:t xml:space="preserve">illustrating our ESG approach; </w:t>
      </w:r>
    </w:p>
    <w:p w:rsidR="00850550" w:rsidRDefault="00850550" w:rsidP="00850550">
      <w:pPr>
        <w:spacing w:before="19" w:line="280" w:lineRule="exact"/>
        <w:rPr>
          <w:sz w:val="28"/>
          <w:szCs w:val="28"/>
        </w:rPr>
      </w:pPr>
    </w:p>
    <w:p w:rsidR="00850550" w:rsidRPr="00850550" w:rsidRDefault="00CE1060" w:rsidP="00850550">
      <w:pPr>
        <w:pStyle w:val="Corpsdetexte"/>
        <w:numPr>
          <w:ilvl w:val="0"/>
          <w:numId w:val="1"/>
        </w:numPr>
        <w:tabs>
          <w:tab w:val="left" w:pos="1402"/>
        </w:tabs>
        <w:spacing w:line="300" w:lineRule="auto"/>
        <w:ind w:right="100"/>
        <w:jc w:val="both"/>
      </w:pPr>
      <w:r>
        <w:rPr>
          <w:color w:val="575756"/>
        </w:rPr>
        <w:t>t</w:t>
      </w:r>
      <w:r w:rsidR="00850550">
        <w:rPr>
          <w:color w:val="575756"/>
        </w:rPr>
        <w:t xml:space="preserve">he quantitative ESG data collected annually from the portfolio companies; </w:t>
      </w:r>
    </w:p>
    <w:p w:rsidR="00850550" w:rsidRDefault="00850550" w:rsidP="00850550">
      <w:pPr>
        <w:pStyle w:val="Paragraphedeliste"/>
      </w:pPr>
    </w:p>
    <w:p w:rsidR="00850550" w:rsidRPr="00850550" w:rsidRDefault="00CE1060" w:rsidP="00850550">
      <w:pPr>
        <w:pStyle w:val="Corpsdetexte"/>
        <w:numPr>
          <w:ilvl w:val="0"/>
          <w:numId w:val="1"/>
        </w:numPr>
        <w:tabs>
          <w:tab w:val="left" w:pos="1402"/>
        </w:tabs>
        <w:spacing w:line="300" w:lineRule="auto"/>
        <w:ind w:right="100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t</w:t>
      </w:r>
      <w:r w:rsidR="00850550" w:rsidRPr="00850550">
        <w:rPr>
          <w:color w:val="595959" w:themeColor="text1" w:themeTint="A6"/>
        </w:rPr>
        <w:t>he presentations made to in-house committee meetings</w:t>
      </w:r>
    </w:p>
    <w:p w:rsidR="00850550" w:rsidRDefault="00850550" w:rsidP="00850550">
      <w:pPr>
        <w:pStyle w:val="Paragraphedeliste"/>
      </w:pPr>
    </w:p>
    <w:p w:rsidR="00850550" w:rsidRPr="00850550" w:rsidRDefault="00850550" w:rsidP="00850550">
      <w:pPr>
        <w:pStyle w:val="Corpsdetexte"/>
        <w:tabs>
          <w:tab w:val="left" w:pos="1402"/>
        </w:tabs>
        <w:spacing w:line="300" w:lineRule="auto"/>
        <w:ind w:right="100"/>
        <w:jc w:val="both"/>
        <w:rPr>
          <w:color w:val="595959" w:themeColor="text1" w:themeTint="A6"/>
        </w:rPr>
      </w:pPr>
      <w:r w:rsidRPr="00850550">
        <w:rPr>
          <w:color w:val="595959" w:themeColor="text1" w:themeTint="A6"/>
        </w:rPr>
        <w:t xml:space="preserve">The simultaneous taking into account of ESG criteria in the investment policy applies to the FCDE II fund, which represents </w:t>
      </w:r>
      <w:r w:rsidR="00B94160">
        <w:rPr>
          <w:color w:val="595959" w:themeColor="text1" w:themeTint="A6"/>
        </w:rPr>
        <w:t>90</w:t>
      </w:r>
      <w:r w:rsidRPr="00850550">
        <w:rPr>
          <w:color w:val="595959" w:themeColor="text1" w:themeTint="A6"/>
        </w:rPr>
        <w:t>% of the total ass</w:t>
      </w:r>
      <w:r w:rsidR="00523808">
        <w:rPr>
          <w:color w:val="595959" w:themeColor="text1" w:themeTint="A6"/>
        </w:rPr>
        <w:t>ets managed by the Company at 3</w:t>
      </w:r>
      <w:r w:rsidR="00B94160">
        <w:rPr>
          <w:color w:val="595959" w:themeColor="text1" w:themeTint="A6"/>
        </w:rPr>
        <w:t>0th</w:t>
      </w:r>
      <w:r w:rsidR="00523808">
        <w:rPr>
          <w:color w:val="595959" w:themeColor="text1" w:themeTint="A6"/>
        </w:rPr>
        <w:t xml:space="preserve"> </w:t>
      </w:r>
      <w:r w:rsidR="00B94160">
        <w:rPr>
          <w:color w:val="595959" w:themeColor="text1" w:themeTint="A6"/>
        </w:rPr>
        <w:t>September</w:t>
      </w:r>
      <w:r w:rsidRPr="00850550">
        <w:rPr>
          <w:color w:val="595959" w:themeColor="text1" w:themeTint="A6"/>
        </w:rPr>
        <w:t xml:space="preserve"> 201</w:t>
      </w:r>
      <w:r w:rsidR="00B94160">
        <w:rPr>
          <w:color w:val="595959" w:themeColor="text1" w:themeTint="A6"/>
        </w:rPr>
        <w:t>9</w:t>
      </w:r>
      <w:bookmarkStart w:id="0" w:name="_GoBack"/>
      <w:bookmarkEnd w:id="0"/>
      <w:r w:rsidRPr="00850550">
        <w:rPr>
          <w:color w:val="595959" w:themeColor="text1" w:themeTint="A6"/>
        </w:rPr>
        <w:t>.</w:t>
      </w:r>
    </w:p>
    <w:p w:rsidR="00850550" w:rsidRDefault="00850550" w:rsidP="00850550">
      <w:pPr>
        <w:pStyle w:val="Corpsdetexte"/>
        <w:tabs>
          <w:tab w:val="left" w:pos="1402"/>
        </w:tabs>
        <w:spacing w:line="300" w:lineRule="auto"/>
        <w:ind w:right="100"/>
        <w:jc w:val="both"/>
      </w:pPr>
    </w:p>
    <w:p w:rsidR="00850550" w:rsidRDefault="00850550" w:rsidP="00850550">
      <w:pPr>
        <w:pStyle w:val="Corpsdetexte"/>
        <w:tabs>
          <w:tab w:val="left" w:pos="1402"/>
        </w:tabs>
        <w:spacing w:line="300" w:lineRule="auto"/>
        <w:ind w:right="100"/>
        <w:jc w:val="both"/>
      </w:pPr>
    </w:p>
    <w:p w:rsidR="00850550" w:rsidRPr="00333A0C" w:rsidRDefault="00850550" w:rsidP="00333A0C">
      <w:pPr>
        <w:pStyle w:val="Corpsdetexte"/>
        <w:spacing w:line="297" w:lineRule="auto"/>
        <w:ind w:right="104"/>
        <w:jc w:val="both"/>
        <w:rPr>
          <w:color w:val="575756"/>
        </w:rPr>
      </w:pPr>
    </w:p>
    <w:p w:rsidR="00036D1F" w:rsidRDefault="00036D1F">
      <w:pPr>
        <w:ind w:left="114" w:right="10400"/>
        <w:rPr>
          <w:rFonts w:ascii="Times New Roman" w:eastAsia="Times New Roman" w:hAnsi="Times New Roman" w:cs="Times New Roman"/>
          <w:sz w:val="20"/>
          <w:szCs w:val="20"/>
        </w:rPr>
      </w:pPr>
    </w:p>
    <w:p w:rsidR="00333A0C" w:rsidRDefault="00333A0C">
      <w:pPr>
        <w:ind w:left="114" w:right="10400"/>
        <w:rPr>
          <w:rFonts w:ascii="Times New Roman" w:eastAsia="Times New Roman" w:hAnsi="Times New Roman" w:cs="Times New Roman"/>
          <w:sz w:val="20"/>
          <w:szCs w:val="20"/>
        </w:rPr>
      </w:pPr>
    </w:p>
    <w:sectPr w:rsidR="00333A0C" w:rsidSect="00036D1F">
      <w:headerReference w:type="default" r:id="rId8"/>
      <w:type w:val="continuous"/>
      <w:pgSz w:w="11900" w:h="16840"/>
      <w:pgMar w:top="9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9A" w:rsidRDefault="0005209A" w:rsidP="001C64AA">
      <w:r>
        <w:separator/>
      </w:r>
    </w:p>
  </w:endnote>
  <w:endnote w:type="continuationSeparator" w:id="0">
    <w:p w:rsidR="0005209A" w:rsidRDefault="0005209A" w:rsidP="001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9A" w:rsidRDefault="0005209A" w:rsidP="001C64AA">
      <w:r>
        <w:separator/>
      </w:r>
    </w:p>
  </w:footnote>
  <w:footnote w:type="continuationSeparator" w:id="0">
    <w:p w:rsidR="0005209A" w:rsidRDefault="0005209A" w:rsidP="001C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AA" w:rsidRDefault="001C64AA">
    <w:pPr>
      <w:pStyle w:val="En-tte"/>
    </w:pPr>
    <w:r>
      <w:rPr>
        <w:noProof/>
      </w:rPr>
      <w:drawing>
        <wp:inline distT="0" distB="0" distL="0" distR="0" wp14:anchorId="4CB756FF" wp14:editId="30914C4E">
          <wp:extent cx="2139315" cy="70231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0F57"/>
    <w:multiLevelType w:val="hybridMultilevel"/>
    <w:tmpl w:val="24508D74"/>
    <w:lvl w:ilvl="0" w:tplc="05306B82">
      <w:start w:val="1"/>
      <w:numFmt w:val="bullet"/>
      <w:lvlText w:val="-"/>
      <w:lvlJc w:val="left"/>
      <w:pPr>
        <w:ind w:left="1401" w:hanging="360"/>
      </w:pPr>
      <w:rPr>
        <w:rFonts w:ascii="Arial" w:eastAsia="Arial" w:hAnsi="Arial" w:hint="default"/>
        <w:color w:val="575756"/>
        <w:w w:val="102"/>
        <w:sz w:val="21"/>
        <w:szCs w:val="21"/>
      </w:rPr>
    </w:lvl>
    <w:lvl w:ilvl="1" w:tplc="D914709C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AB36D67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3" w:tplc="9690A230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4" w:tplc="9F72752C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85EC224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4CA0A14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195A071A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8" w:tplc="D14CDFC6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1F"/>
    <w:rsid w:val="00036D1F"/>
    <w:rsid w:val="0005209A"/>
    <w:rsid w:val="000963CE"/>
    <w:rsid w:val="001A1B55"/>
    <w:rsid w:val="001B69A1"/>
    <w:rsid w:val="001C64AA"/>
    <w:rsid w:val="00261CA3"/>
    <w:rsid w:val="00273475"/>
    <w:rsid w:val="00333A0C"/>
    <w:rsid w:val="004F3D73"/>
    <w:rsid w:val="00523808"/>
    <w:rsid w:val="005F7D57"/>
    <w:rsid w:val="00633CB5"/>
    <w:rsid w:val="006E1C41"/>
    <w:rsid w:val="00735B73"/>
    <w:rsid w:val="00840940"/>
    <w:rsid w:val="00850550"/>
    <w:rsid w:val="009535FE"/>
    <w:rsid w:val="00983418"/>
    <w:rsid w:val="009B2771"/>
    <w:rsid w:val="009B729B"/>
    <w:rsid w:val="00A351F7"/>
    <w:rsid w:val="00A654FB"/>
    <w:rsid w:val="00AE26D0"/>
    <w:rsid w:val="00B94160"/>
    <w:rsid w:val="00C13947"/>
    <w:rsid w:val="00C81F00"/>
    <w:rsid w:val="00CE1060"/>
    <w:rsid w:val="00CF3573"/>
    <w:rsid w:val="00D9549C"/>
    <w:rsid w:val="00D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5A0E"/>
  <w15:docId w15:val="{E653F854-6EDB-BC42-8F83-73D2C8A6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6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036D1F"/>
    <w:pPr>
      <w:ind w:left="681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036D1F"/>
  </w:style>
  <w:style w:type="paragraph" w:customStyle="1" w:styleId="TableParagraph">
    <w:name w:val="Table Paragraph"/>
    <w:basedOn w:val="Normal"/>
    <w:uiPriority w:val="1"/>
    <w:qFormat/>
    <w:rsid w:val="00036D1F"/>
  </w:style>
  <w:style w:type="paragraph" w:styleId="Textedebulles">
    <w:name w:val="Balloon Text"/>
    <w:basedOn w:val="Normal"/>
    <w:link w:val="TextedebullesCar"/>
    <w:uiPriority w:val="99"/>
    <w:semiHidden/>
    <w:unhideWhenUsed/>
    <w:rsid w:val="00CE106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6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C6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64AA"/>
  </w:style>
  <w:style w:type="paragraph" w:styleId="Pieddepage">
    <w:name w:val="footer"/>
    <w:basedOn w:val="Normal"/>
    <w:link w:val="PieddepageCar"/>
    <w:uiPriority w:val="99"/>
    <w:unhideWhenUsed/>
    <w:rsid w:val="001C6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F9E94-6ABC-2344-AB65-B0705114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4</cp:revision>
  <cp:lastPrinted>2018-11-13T15:58:00Z</cp:lastPrinted>
  <dcterms:created xsi:type="dcterms:W3CDTF">2020-02-13T16:12:00Z</dcterms:created>
  <dcterms:modified xsi:type="dcterms:W3CDTF">2020-02-13T16:13:00Z</dcterms:modified>
</cp:coreProperties>
</file>